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A1EE1" w14:textId="77777777" w:rsidR="00DE2DFE" w:rsidRPr="00DE2DFE" w:rsidRDefault="00DE2DFE" w:rsidP="00DE2DFE">
      <w:pPr>
        <w:spacing w:after="300" w:line="240" w:lineRule="auto"/>
        <w:textAlignment w:val="bottom"/>
        <w:outlineLvl w:val="0"/>
        <w:rPr>
          <w:rFonts w:ascii="inherit" w:eastAsia="Times New Roman" w:hAnsi="inherit" w:cs="Arial"/>
          <w:b/>
          <w:bCs/>
          <w:caps/>
          <w:color w:val="313131"/>
          <w:kern w:val="36"/>
          <w:sz w:val="42"/>
          <w:szCs w:val="42"/>
          <w:lang w:eastAsia="kk-KZ"/>
        </w:rPr>
      </w:pPr>
      <w:r w:rsidRPr="00DE2DFE">
        <w:rPr>
          <w:rFonts w:ascii="inherit" w:eastAsia="Times New Roman" w:hAnsi="inherit" w:cs="Arial"/>
          <w:b/>
          <w:bCs/>
          <w:caps/>
          <w:color w:val="313131"/>
          <w:kern w:val="36"/>
          <w:sz w:val="42"/>
          <w:szCs w:val="42"/>
          <w:lang w:eastAsia="kk-KZ"/>
        </w:rPr>
        <w:t>Батыс Қазақстанда өсірілетін жылқының «Адай», «Жабе» тұқымдары мен жергілікті түйе тұқымдарының генетикалық құрылымы мен әртүрлігін ДНҚ микросателиттерінің көмегімен зерттеу</w:t>
      </w:r>
    </w:p>
    <w:p w14:paraId="190F655F"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b/>
          <w:bCs/>
          <w:color w:val="171717"/>
          <w:sz w:val="23"/>
          <w:szCs w:val="23"/>
          <w:bdr w:val="none" w:sz="0" w:space="0" w:color="auto" w:frame="1"/>
          <w:lang w:eastAsia="kk-KZ"/>
        </w:rPr>
        <w:t xml:space="preserve">Мемл.тіркеу нөмірі: </w:t>
      </w:r>
      <w:bookmarkStart w:id="0" w:name="_GoBack"/>
      <w:r w:rsidRPr="00DE2DFE">
        <w:rPr>
          <w:rFonts w:ascii="Arial" w:eastAsia="Times New Roman" w:hAnsi="Arial" w:cs="Arial"/>
          <w:b/>
          <w:bCs/>
          <w:color w:val="171717"/>
          <w:sz w:val="23"/>
          <w:szCs w:val="23"/>
          <w:bdr w:val="none" w:sz="0" w:space="0" w:color="auto" w:frame="1"/>
          <w:lang w:eastAsia="kk-KZ"/>
        </w:rPr>
        <w:t>0124РКИ0188</w:t>
      </w:r>
    </w:p>
    <w:p w14:paraId="7EB0B9DC"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b/>
          <w:bCs/>
          <w:color w:val="171717"/>
          <w:sz w:val="23"/>
          <w:szCs w:val="23"/>
          <w:bdr w:val="none" w:sz="0" w:space="0" w:color="auto" w:frame="1"/>
          <w:lang w:eastAsia="kk-KZ"/>
        </w:rPr>
        <w:t>Жоба жетекшісі: Бисенов Өтебай Көшербаевич</w:t>
      </w:r>
    </w:p>
    <w:bookmarkEnd w:id="0"/>
    <w:p w14:paraId="5CD730A5"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       </w:t>
      </w:r>
      <w:r w:rsidRPr="00DE2DFE">
        <w:rPr>
          <w:rFonts w:ascii="Arial" w:eastAsia="Times New Roman" w:hAnsi="Arial" w:cs="Arial"/>
          <w:b/>
          <w:bCs/>
          <w:color w:val="171717"/>
          <w:sz w:val="23"/>
          <w:szCs w:val="23"/>
          <w:bdr w:val="none" w:sz="0" w:space="0" w:color="auto" w:frame="1"/>
          <w:lang w:eastAsia="kk-KZ"/>
        </w:rPr>
        <w:t>Жоба тақырыбының атауы</w:t>
      </w:r>
      <w:r w:rsidRPr="00DE2DFE">
        <w:rPr>
          <w:rFonts w:ascii="Arial" w:eastAsia="Times New Roman" w:hAnsi="Arial" w:cs="Arial"/>
          <w:color w:val="171717"/>
          <w:sz w:val="23"/>
          <w:szCs w:val="23"/>
          <w:lang w:eastAsia="kk-KZ"/>
        </w:rPr>
        <w:t> [20 сөзден артық емес]. «Батыс Қазақстанда өсірілетін жылқының Адай, Жабе тұқымдары мен жергілікті түйе тұқымдарының генетикалық құрылымы мен әртүрлілігін ДНҚ микросателиттерінің көмегімен зерттеу».</w:t>
      </w:r>
      <w:r w:rsidRPr="00DE2DFE">
        <w:rPr>
          <w:rFonts w:ascii="Arial" w:eastAsia="Times New Roman" w:hAnsi="Arial" w:cs="Arial"/>
          <w:color w:val="171717"/>
          <w:sz w:val="23"/>
          <w:szCs w:val="23"/>
          <w:lang w:eastAsia="kk-KZ"/>
        </w:rPr>
        <w:br/>
        <w:t>1.2. Өтінім берілетін ғылымды дамытудың басым бағытының атауы. 6.Өмір және денсаулық туралы ғылымдар.</w:t>
      </w:r>
      <w:r w:rsidRPr="00DE2DFE">
        <w:rPr>
          <w:rFonts w:ascii="Arial" w:eastAsia="Times New Roman" w:hAnsi="Arial" w:cs="Arial"/>
          <w:color w:val="171717"/>
          <w:sz w:val="23"/>
          <w:szCs w:val="23"/>
          <w:lang w:eastAsia="kk-KZ"/>
        </w:rPr>
        <w:br/>
        <w:t>1.3. Өтінім берілетін мамандандырылған ғылыми бағыттың атауы. 6.1.2.Жаңа гендердің және сандық белгілердің локустарының генетикалық және физикалық картасын жасау және өсімдіктер мен жануарларды мақсатты жақсарту үшін геномдық редакциялау технологиялары.</w:t>
      </w:r>
      <w:r w:rsidRPr="00DE2DFE">
        <w:rPr>
          <w:rFonts w:ascii="Arial" w:eastAsia="Times New Roman" w:hAnsi="Arial" w:cs="Arial"/>
          <w:color w:val="171717"/>
          <w:sz w:val="23"/>
          <w:szCs w:val="23"/>
          <w:lang w:eastAsia="kk-KZ"/>
        </w:rPr>
        <w:br/>
        <w:t>1.4. Ғылыми бағыттардың классификаторына сәйкес зерттеу саласы. </w:t>
      </w:r>
      <w:r w:rsidRPr="00DE2DFE">
        <w:rPr>
          <w:rFonts w:ascii="Arial" w:eastAsia="Times New Roman" w:hAnsi="Arial" w:cs="Arial"/>
          <w:color w:val="C00000"/>
          <w:sz w:val="23"/>
          <w:szCs w:val="23"/>
          <w:bdr w:val="none" w:sz="0" w:space="0" w:color="auto" w:frame="1"/>
          <w:lang w:eastAsia="kk-KZ"/>
        </w:rPr>
        <w:t>Генетика, </w:t>
      </w:r>
      <w:r w:rsidRPr="00DE2DFE">
        <w:rPr>
          <w:rFonts w:ascii="Arial" w:eastAsia="Times New Roman" w:hAnsi="Arial" w:cs="Arial"/>
          <w:color w:val="171717"/>
          <w:sz w:val="23"/>
          <w:szCs w:val="23"/>
          <w:lang w:eastAsia="kk-KZ"/>
        </w:rPr>
        <w:t>молекулалық биология, биоинформатика.</w:t>
      </w:r>
      <w:r w:rsidRPr="00DE2DFE">
        <w:rPr>
          <w:rFonts w:ascii="Arial" w:eastAsia="Times New Roman" w:hAnsi="Arial" w:cs="Arial"/>
          <w:color w:val="171717"/>
          <w:sz w:val="23"/>
          <w:szCs w:val="23"/>
          <w:lang w:eastAsia="kk-KZ"/>
        </w:rPr>
        <w:br/>
        <w:t>1.5. Зерттеу түрі. Іргелі</w:t>
      </w:r>
    </w:p>
    <w:p w14:paraId="4672105E"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b/>
          <w:bCs/>
          <w:color w:val="171717"/>
          <w:sz w:val="23"/>
          <w:szCs w:val="23"/>
          <w:bdr w:val="none" w:sz="0" w:space="0" w:color="auto" w:frame="1"/>
          <w:lang w:eastAsia="kk-KZ"/>
        </w:rPr>
        <w:t> </w:t>
      </w:r>
    </w:p>
    <w:p w14:paraId="20EACB9B"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1.8. Сарапшыларды іріктеу үшін өтінімнің саласы мен бағытын сипаттайтын түйін сөздер. Жылқы қылы, түйе қаны, ПТР-амплификаторы, электрофорез аппараты, ДНҚ праймер-затравка, полиакриламид және агароза гельдері,Tag-полимераза және ДНҚ-полимераза ферменттері</w:t>
      </w:r>
    </w:p>
    <w:p w14:paraId="6A91AA89"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            </w:t>
      </w:r>
      <w:r w:rsidRPr="00DE2DFE">
        <w:rPr>
          <w:rFonts w:ascii="Arial" w:eastAsia="Times New Roman" w:hAnsi="Arial" w:cs="Arial"/>
          <w:b/>
          <w:bCs/>
          <w:color w:val="171717"/>
          <w:sz w:val="23"/>
          <w:szCs w:val="23"/>
          <w:bdr w:val="none" w:sz="0" w:space="0" w:color="auto" w:frame="1"/>
          <w:lang w:eastAsia="kk-KZ"/>
        </w:rPr>
        <w:t>2. Жобаның жалпы тұжырымдамасы [550 сөзден артық емес]</w:t>
      </w:r>
    </w:p>
    <w:p w14:paraId="71483092"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b/>
          <w:bCs/>
          <w:color w:val="171717"/>
          <w:sz w:val="23"/>
          <w:szCs w:val="23"/>
          <w:bdr w:val="none" w:sz="0" w:space="0" w:color="auto" w:frame="1"/>
          <w:lang w:eastAsia="kk-KZ"/>
        </w:rPr>
        <w:t>2.1. Кіріспе бөлім [100 сөзден артық емес]</w:t>
      </w:r>
    </w:p>
    <w:p w14:paraId="797C32F8"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      Микросателлитті ДНҚ – бұл хромосоманың центромерлі, теломерлі және гетерохроматинді аудандарында орналасқан нуклеотидтердің жиі қайталанылатын түрі. Микросателлиттер – ұзындығы 2, 3, 4 нуклеотид болатын қысқа олигонуклеотидтердің бірізділіктерінен тұратын тандемды ДНҚ молекуласының қысқа учаскелері, мысалы: [(GA)n, (GAG)n, (AGAT)n]. Геномдағы микросателлитті қайталанатын бірліктердің көлемі 2-4-тен 10-15-ге дейін өзгеріп отырады. Мұндай қарапайым қайталанулар эукариотты геномдарда кең таралған. ДНҚ-ң микросателлитті қатарларының полиморфтылық деңгейі кластердегі мономерлі бірліктердің әртүрлі көшірімділігімен анықталады, ол өз кезегінде көптеген аллельді нұсқалардың болуына әкеп соғады.</w:t>
      </w:r>
    </w:p>
    <w:p w14:paraId="2CBC3D85"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      Гипервариабельді микросателиттер тұқым қуалайтын өзгерістерді ядролы ДНҚ деңгейінде талдауға арналған генетикалық маркерлердің әмбепап жүйесі болып табылады. Жабайы және үй жануарлары популяцияларының генетикалық полиморфтылығын зерттеуде кең қолданылады.</w:t>
      </w:r>
    </w:p>
    <w:p w14:paraId="4C90E0AC"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b/>
          <w:bCs/>
          <w:color w:val="171717"/>
          <w:sz w:val="23"/>
          <w:szCs w:val="23"/>
          <w:bdr w:val="none" w:sz="0" w:space="0" w:color="auto" w:frame="1"/>
          <w:lang w:eastAsia="kk-KZ"/>
        </w:rPr>
        <w:t>2.2. Жобаның мақсаты [50 сөзден артық емес]</w:t>
      </w:r>
    </w:p>
    <w:p w14:paraId="6D07F9A7"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i/>
          <w:iCs/>
          <w:color w:val="171717"/>
          <w:sz w:val="23"/>
          <w:szCs w:val="23"/>
          <w:bdr w:val="none" w:sz="0" w:space="0" w:color="auto" w:frame="1"/>
          <w:lang w:eastAsia="kk-KZ"/>
        </w:rPr>
        <w:t xml:space="preserve">Мақсат қысқа әрі нақты баяндалады, ол жоба тақырыбына сәйкес келуге, қол жеткізілетін болуға және жобаны іске асыру нәтижесінде алынуы күтілетін шешімнің сипаттамасын көрсетуге тиіс. Мақсаттың мазмұны жүргізілген </w:t>
      </w:r>
      <w:r w:rsidRPr="00DE2DFE">
        <w:rPr>
          <w:rFonts w:ascii="Arial" w:eastAsia="Times New Roman" w:hAnsi="Arial" w:cs="Arial"/>
          <w:i/>
          <w:iCs/>
          <w:color w:val="171717"/>
          <w:sz w:val="23"/>
          <w:szCs w:val="23"/>
          <w:bdr w:val="none" w:sz="0" w:space="0" w:color="auto" w:frame="1"/>
          <w:lang w:eastAsia="kk-KZ"/>
        </w:rPr>
        <w:lastRenderedPageBreak/>
        <w:t>зерттеулердің нәтижесінде жауап беру болжанатын негізгі мәселені көрсетуге тиіс.</w:t>
      </w:r>
    </w:p>
    <w:p w14:paraId="66016D55"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Жоба мақсаты: ХХ ғасырдың аяғы мен ХХІ ғасырдың басында молекулалық генетиканың жетістіктері негізінде қалыптасқан жоғары ақпаратқа ие микросателлитті локустарды Қазақстанда өсірілетін әртүрлі ауылшаруашылық малдарының генетикалық әртүрлілігі мен құрылымын зерттеу арқылы слекциялық жұмыстарды оңтайландыру және ерте бастан олардың генетикалық құндылығын бағалау.</w:t>
      </w:r>
    </w:p>
    <w:p w14:paraId="5FCC44D9"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b/>
          <w:bCs/>
          <w:color w:val="171717"/>
          <w:sz w:val="23"/>
          <w:szCs w:val="23"/>
          <w:bdr w:val="none" w:sz="0" w:space="0" w:color="auto" w:frame="1"/>
          <w:lang w:eastAsia="kk-KZ"/>
        </w:rPr>
        <w:t>2.3. Жобаның міндеттері [400 сөзден артық емес]</w:t>
      </w:r>
    </w:p>
    <w:p w14:paraId="3A7A130C"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i/>
          <w:iCs/>
          <w:color w:val="171717"/>
          <w:sz w:val="23"/>
          <w:szCs w:val="23"/>
          <w:bdr w:val="none" w:sz="0" w:space="0" w:color="auto" w:frame="1"/>
          <w:lang w:eastAsia="kk-KZ"/>
        </w:rPr>
        <w:t>Бұл бөлімде өзара қисынды байланысқан, сабақтас міндеттер арқылы жобаның мақсатына қол жеткізу тәсілі сипатталады. Қойылған міндеттердің тізбесі:</w:t>
      </w:r>
    </w:p>
    <w:p w14:paraId="78398182"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b/>
          <w:bCs/>
          <w:i/>
          <w:iCs/>
          <w:color w:val="171717"/>
          <w:sz w:val="23"/>
          <w:szCs w:val="23"/>
          <w:bdr w:val="none" w:sz="0" w:space="0" w:color="auto" w:frame="1"/>
          <w:lang w:eastAsia="kk-KZ"/>
        </w:rPr>
        <w:t>1)      міндеттер шешімдерінің өлшенетін көрсеткіштерімен;</w:t>
      </w:r>
    </w:p>
    <w:p w14:paraId="512A4360"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Батыс Қазақстанда өсірілетін «Адай» мен «Жабе» жылқы және жергілікті түйе тұқымдарының геномдық полиморфизмін микрсателлитті локустар арқылы зерттеу үшін төмендегідей міндеттерді алға қойылады:</w:t>
      </w:r>
    </w:p>
    <w:p w14:paraId="5D678A1F"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1.Зерттеуге алынған мал тұқымдарынан биоматериалдар жинап, геномдық ДНҚ молекуласын бөліп алу және олардың сапалық құрылымын талдау;       </w:t>
      </w:r>
    </w:p>
    <w:p w14:paraId="682AB5B4"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2.Полимеразды тізбекті реакция әдісі арқылы микросателлитті локустардың амплификондарын алу және зерттуеге алынған дараларға генотиптеу жүргізу;</w:t>
      </w:r>
    </w:p>
    <w:p w14:paraId="4989B08D"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3. Генетикалық полиморфизмдерді бағалау үшін SeqStudio генетикалық талдау аппаратында аллельдерді анықтау;</w:t>
      </w:r>
    </w:p>
    <w:p w14:paraId="4246FC38"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4. Зерттеуге алынған жылқы және түйелердің генетикалық әртүрлілігі мен құрылымын биоинформатикалық бағдарламалар негізінде сипаттау;</w:t>
      </w:r>
    </w:p>
    <w:p w14:paraId="3846D8DF"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5. Әрбір популяциядағы жеке дараларға тән аллельдерді анықтау және оларға генетикалық төлқұжат беру;</w:t>
      </w:r>
    </w:p>
    <w:p w14:paraId="10FAA567"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6. Микросателлитті локустар негізінде генотиптеу арқылы алынған нәтижелерді селекциялық жұмыстарда қолдануға селекционерлерге ұсыныс жасау.  </w:t>
      </w:r>
    </w:p>
    <w:p w14:paraId="7AA81158"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7. Адай жылқысының геномдық кітапханасын жасақтау</w:t>
      </w:r>
    </w:p>
    <w:p w14:paraId="1CAE4E43"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i/>
          <w:iCs/>
          <w:color w:val="171717"/>
          <w:sz w:val="23"/>
          <w:szCs w:val="23"/>
          <w:bdr w:val="none" w:sz="0" w:space="0" w:color="auto" w:frame="1"/>
          <w:lang w:eastAsia="kk-KZ"/>
        </w:rPr>
        <w:t>2) міндеттердің әрқайсысының жоба мақсатына қол жеткізудегі рөлінің және басқа міндеттер мен жобаның күтілетін нәтижелерімен өзара байланысының қысқаша негіздемесімен;</w:t>
      </w:r>
    </w:p>
    <w:p w14:paraId="65FD2C64"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Генетикалық полиморфизді анықтау үшін микросателлиттерді кеңінен пайдаланады. Басқа маркерлермен салыстырғанда микросателлиттер жоғары деңгейлі полиморфизмділігімен сипатталады және мұндай маркерлер малдардың геномын зерттеуде үлкен роль атқарады. Қазіргі кезде ауылшаруашылық малдарында микросателлитердің көп саны анықталған. Үй малдарының барлық ұқсастандырылған микросателлиттері халықаралық геномдық қорға тіркелген (GenBank немесе EMBL). Мысалы, қойлардың гендік қор жинағында 300 астам микросателлиттік маркерлер бар. Микросателлиттік талдаудың жоғары дәлдігі көптеген зерттеу бағытында қолданысқа ие болды, әрі қан тобы және биохимиялық маркелерді ығыстырды. Микросателлиттер маркерлік жүйе ретінде мынандай мәселелердің шешімін табуда қолданылып келеді: мал мен құстардың шығу тегін бақылауда, геномдық карта жасауда, популяцияның генетикалық құрылымын және инбредтік деңгейін сипаттауда, популяциялар, тұқымдар, линиялар арасындағы генетикалық алшақтықты, филогенетикалық зерттеулерде.</w:t>
      </w:r>
    </w:p>
    <w:p w14:paraId="3C9CE02E"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lastRenderedPageBreak/>
        <w:t>Гендік қорды сақтау үшін, ата-енелерінің саны тиімді панмиксиялық (кездейсоқ шағылысу) популяцияда 500 даралар, олардың жынысты арақатынасы 1:5 болуы тиіс. Осындай жағдайда инбридинг және генетикалық дрейфтің өсімі онша көп болмайды, яғни тиісінше 0,1 және 0,04% болады [9]. Инбридинг ұрпақтардың бейімділік және өнімділік қасиеттерін төмендетінін бұрыннан белгілі және бұл құбылысты инбредтік тоқырау деп атайды [10].</w:t>
      </w:r>
    </w:p>
    <w:p w14:paraId="6951151B"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Популяциядағы басқа маңызды генетикалық әр түрлілік өлшемге бейтарап генетикалық локустардағы орташа гетерозиготтылықты анықтау жатады, мысала, минисателлитті ДНҚ бойынша [11]. Жалпы гетерозиготалықты белгілі бір деңгейді ұстап тұру сирек және жойылып бара жатқан тауықтар тұқымдарын сақтауда қажет [12]. Алайда, генетикалық әр түрліліктің шектен тыс көбейіп кетуі популяцияның қалыпты қызметіне кері әсерін тигізуі мүмкін. Сондықтан, шаруашылыққа құнды белгілерге бағытталған қалыпты селекция жүргізу қажет [ 13].</w:t>
      </w:r>
    </w:p>
    <w:p w14:paraId="66A3A930"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Көптеген ДНҚ-микросателлиттік локустары соншалықты полиморфты болғандықтан кез келген ауылшаруашылық малдарының барлық түрлері мен тұқымдарының геномын зерттеуде кеңінен қолданысқа ие болды. Мәселен, М.Ю.Озеров [89] өз жұмысында 16 микросателлиттік локустардың (ВМО 757, ВМ 1314, ВМ 4621, ВМ 6506, ВМ 6526, ВМ 8125, INRA 023, MAF 214, MAF 48, MAF 65, McM527, OarFCB 128, OarFCB 304, OarFCB 48,OarHH 47 және OarVH 72) көмегімен 10 қой тұқымын (ромни-марш, романов, таулыкарпат, қаракөл, едільбай, грозныйлық, опаринск, соколь, ставрополь, цигай) зерттеген. Зерттеу барысында грозныйлық – романов және грозныйлық – еділбай қой тұқымдарының бір-бірінен генетикалық алшақтылығы тиісінше 0,31 және 0,32 болатындылығы анықталды. Ал, қалған қой тұқымдарында бұл көрсеткіш 0,12- 0,30 аралығында болды.</w:t>
      </w:r>
    </w:p>
    <w:p w14:paraId="2F9E845C"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i/>
          <w:iCs/>
          <w:color w:val="171717"/>
          <w:sz w:val="23"/>
          <w:szCs w:val="23"/>
          <w:bdr w:val="none" w:sz="0" w:space="0" w:color="auto" w:frame="1"/>
          <w:lang w:eastAsia="kk-KZ"/>
        </w:rPr>
        <w:t>3) міндеттердің өлшенетін көрсеткіштерін көрсету кезінде әлеуметтік, гуманитарлық ғылымдар және өнер саласындағы жобаларды қоспағанда, өтінім беру және жобаны аяқтау кезеңінде әзірлемелердің технологиялық дайындығының деңгейін көрсету қажет;</w:t>
      </w:r>
    </w:p>
    <w:p w14:paraId="6F4882CE"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i/>
          <w:iCs/>
          <w:color w:val="171717"/>
          <w:sz w:val="23"/>
          <w:szCs w:val="23"/>
          <w:bdr w:val="none" w:sz="0" w:space="0" w:color="auto" w:frame="1"/>
          <w:lang w:eastAsia="kk-KZ"/>
        </w:rPr>
        <w:t>Жобада өлшенетін көрсеткіштері көзделмейді.</w:t>
      </w:r>
    </w:p>
    <w:p w14:paraId="4BCEFA51" w14:textId="77777777" w:rsidR="00DE2DFE" w:rsidRPr="00DE2DFE" w:rsidRDefault="00DE2DFE" w:rsidP="00DE2DFE">
      <w:pPr>
        <w:shd w:val="clear" w:color="auto" w:fill="FFFFFF"/>
        <w:spacing w:after="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i/>
          <w:iCs/>
          <w:color w:val="171717"/>
          <w:sz w:val="23"/>
          <w:szCs w:val="23"/>
          <w:bdr w:val="none" w:sz="0" w:space="0" w:color="auto" w:frame="1"/>
          <w:lang w:eastAsia="kk-KZ"/>
        </w:rPr>
        <w:t>4) өтінім берушінің ойынша басқа маңызды параметрлермен бірге беріледі.</w:t>
      </w:r>
    </w:p>
    <w:p w14:paraId="5E65DB67" w14:textId="77777777" w:rsidR="00DE2DFE" w:rsidRPr="00DE2DFE" w:rsidRDefault="00DE2DFE" w:rsidP="00DE2DFE">
      <w:pPr>
        <w:shd w:val="clear" w:color="auto" w:fill="FFFFFF"/>
        <w:spacing w:after="300" w:line="240" w:lineRule="auto"/>
        <w:textAlignment w:val="bottom"/>
        <w:rPr>
          <w:rFonts w:ascii="Arial" w:eastAsia="Times New Roman" w:hAnsi="Arial" w:cs="Arial"/>
          <w:color w:val="171717"/>
          <w:sz w:val="23"/>
          <w:szCs w:val="23"/>
          <w:lang w:eastAsia="kk-KZ"/>
        </w:rPr>
      </w:pPr>
      <w:r w:rsidRPr="00DE2DFE">
        <w:rPr>
          <w:rFonts w:ascii="Arial" w:eastAsia="Times New Roman" w:hAnsi="Arial" w:cs="Arial"/>
          <w:color w:val="171717"/>
          <w:sz w:val="23"/>
          <w:szCs w:val="23"/>
          <w:lang w:eastAsia="kk-KZ"/>
        </w:rPr>
        <w:t>Жоба алдына қойып отырған мақсатына пәнаралық байланысқан сабақтас міндеттер арқылы қол жеткізіледі. Әрбір міндет қарастырылып отырған мәселені шешуге бағытталған. Олардың нәтижелері жобаны жүзеге асыру барысында нақты өлшемдермен айқындалады.</w:t>
      </w:r>
    </w:p>
    <w:p w14:paraId="1E1C1A53" w14:textId="77777777" w:rsidR="002B3535" w:rsidRDefault="002B3535"/>
    <w:sectPr w:rsidR="002B3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51"/>
    <w:rsid w:val="002A7B51"/>
    <w:rsid w:val="002B3535"/>
    <w:rsid w:val="00DE2DFE"/>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9712D-C7DF-4A17-AA68-00B51DAC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DE2D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2DFE"/>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DE2DFE"/>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65736">
      <w:bodyDiv w:val="1"/>
      <w:marLeft w:val="0"/>
      <w:marRight w:val="0"/>
      <w:marTop w:val="0"/>
      <w:marBottom w:val="0"/>
      <w:divBdr>
        <w:top w:val="none" w:sz="0" w:space="0" w:color="auto"/>
        <w:left w:val="none" w:sz="0" w:space="0" w:color="auto"/>
        <w:bottom w:val="none" w:sz="0" w:space="0" w:color="auto"/>
        <w:right w:val="none" w:sz="0" w:space="0" w:color="auto"/>
      </w:divBdr>
      <w:divsChild>
        <w:div w:id="1318073408">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2026-01-16T04:50:00Z</dcterms:created>
  <dcterms:modified xsi:type="dcterms:W3CDTF">2026-01-16T04:50:00Z</dcterms:modified>
</cp:coreProperties>
</file>